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F3A" w:rsidRPr="00E40F3A" w:rsidRDefault="00E40F3A">
      <w:pPr>
        <w:rPr>
          <w:rFonts w:ascii="Arial" w:hAnsi="Arial" w:cs="Arial"/>
        </w:rPr>
      </w:pPr>
    </w:p>
    <w:p w:rsidR="00E15D77" w:rsidRPr="00454F09" w:rsidRDefault="00E15D77" w:rsidP="00E15D77">
      <w:pPr>
        <w:rPr>
          <w:rFonts w:ascii="Arial" w:hAnsi="Arial" w:cs="Arial"/>
        </w:rPr>
      </w:pPr>
    </w:p>
    <w:p w:rsidR="00454F09" w:rsidRPr="00454F09" w:rsidRDefault="00454F09" w:rsidP="00454F09">
      <w:pPr>
        <w:rPr>
          <w:rFonts w:ascii="Arial" w:hAnsi="Arial" w:cs="Arial"/>
          <w:b/>
          <w:color w:val="0E152C"/>
          <w:sz w:val="24"/>
          <w:szCs w:val="24"/>
        </w:rPr>
      </w:pPr>
      <w:r w:rsidRPr="00454F09">
        <w:rPr>
          <w:rFonts w:ascii="Arial" w:hAnsi="Arial" w:cs="Arial"/>
          <w:b/>
          <w:color w:val="0E152C"/>
          <w:sz w:val="24"/>
          <w:szCs w:val="24"/>
        </w:rPr>
        <w:t>Terminal Fee collected from cruise vessels</w:t>
      </w:r>
    </w:p>
    <w:p w:rsidR="00454F09" w:rsidRPr="00F82FC1" w:rsidRDefault="00454F09" w:rsidP="00454F09">
      <w:pPr>
        <w:pStyle w:val="Sarakstarindkopa"/>
        <w:rPr>
          <w:rFonts w:ascii="Arial" w:hAnsi="Arial" w:cs="Arial"/>
          <w:sz w:val="24"/>
          <w:szCs w:val="24"/>
        </w:rPr>
      </w:pP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3582"/>
        <w:gridCol w:w="2938"/>
      </w:tblGrid>
      <w:tr w:rsidR="00454F09" w:rsidRPr="00454F09" w:rsidTr="00F82FC1">
        <w:trPr>
          <w:trHeight w:val="525"/>
          <w:jc w:val="center"/>
        </w:trPr>
        <w:tc>
          <w:tcPr>
            <w:tcW w:w="3582" w:type="dxa"/>
            <w:vAlign w:val="center"/>
          </w:tcPr>
          <w:p w:rsidR="00454F09" w:rsidRPr="00F82FC1" w:rsidRDefault="00454F09" w:rsidP="00F82F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E152C"/>
              </w:rPr>
            </w:pPr>
            <w:r w:rsidRPr="00F82FC1">
              <w:rPr>
                <w:rFonts w:ascii="Arial" w:hAnsi="Arial" w:cs="Arial"/>
                <w:b/>
                <w:color w:val="0E152C"/>
              </w:rPr>
              <w:t>Vessel’s length (LOA) in meters</w:t>
            </w:r>
          </w:p>
        </w:tc>
        <w:tc>
          <w:tcPr>
            <w:tcW w:w="2938" w:type="dxa"/>
            <w:vAlign w:val="center"/>
          </w:tcPr>
          <w:p w:rsidR="00454F09" w:rsidRPr="00F82FC1" w:rsidRDefault="00454F09" w:rsidP="00F82F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E152C"/>
              </w:rPr>
            </w:pPr>
            <w:r w:rsidRPr="00F82FC1">
              <w:rPr>
                <w:rFonts w:ascii="Arial" w:hAnsi="Arial" w:cs="Arial"/>
                <w:b/>
                <w:color w:val="0E152C"/>
              </w:rPr>
              <w:t>EUR per meter of LOA*</w:t>
            </w:r>
          </w:p>
        </w:tc>
      </w:tr>
      <w:tr w:rsidR="00454F09" w:rsidRPr="00454F09" w:rsidTr="00F82FC1">
        <w:trPr>
          <w:trHeight w:val="418"/>
          <w:jc w:val="center"/>
        </w:trPr>
        <w:tc>
          <w:tcPr>
            <w:tcW w:w="3582" w:type="dxa"/>
            <w:vAlign w:val="center"/>
          </w:tcPr>
          <w:p w:rsidR="00454F09" w:rsidRPr="00F82FC1" w:rsidRDefault="00454F09" w:rsidP="00F82FC1">
            <w:pPr>
              <w:spacing w:after="0" w:line="240" w:lineRule="auto"/>
              <w:jc w:val="center"/>
              <w:rPr>
                <w:rFonts w:ascii="Arial" w:hAnsi="Arial" w:cs="Arial"/>
                <w:lang w:val="lv-LV"/>
              </w:rPr>
            </w:pPr>
            <w:proofErr w:type="spellStart"/>
            <w:r w:rsidRPr="00F82FC1">
              <w:rPr>
                <w:rFonts w:ascii="Arial" w:hAnsi="Arial" w:cs="Arial"/>
                <w:lang w:val="lv-LV"/>
              </w:rPr>
              <w:t>Up</w:t>
            </w:r>
            <w:proofErr w:type="spellEnd"/>
            <w:r w:rsidRPr="00F82FC1">
              <w:rPr>
                <w:rFonts w:ascii="Arial" w:hAnsi="Arial" w:cs="Arial"/>
                <w:lang w:val="lv-LV"/>
              </w:rPr>
              <w:t xml:space="preserve"> to 210</w:t>
            </w:r>
          </w:p>
        </w:tc>
        <w:tc>
          <w:tcPr>
            <w:tcW w:w="2938" w:type="dxa"/>
            <w:vAlign w:val="center"/>
          </w:tcPr>
          <w:p w:rsidR="00454F09" w:rsidRPr="00F82FC1" w:rsidRDefault="00454F09" w:rsidP="00F82FC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lv-LV"/>
              </w:rPr>
            </w:pPr>
            <w:r w:rsidRPr="00F82FC1">
              <w:rPr>
                <w:rFonts w:ascii="Arial" w:hAnsi="Arial" w:cs="Arial"/>
                <w:b/>
                <w:color w:val="2C71B9"/>
                <w:lang w:val="lv-LV"/>
              </w:rPr>
              <w:t>27</w:t>
            </w:r>
          </w:p>
        </w:tc>
      </w:tr>
      <w:tr w:rsidR="00454F09" w:rsidRPr="00454F09" w:rsidTr="00F82FC1">
        <w:trPr>
          <w:trHeight w:val="410"/>
          <w:jc w:val="center"/>
        </w:trPr>
        <w:tc>
          <w:tcPr>
            <w:tcW w:w="3582" w:type="dxa"/>
            <w:vAlign w:val="center"/>
          </w:tcPr>
          <w:p w:rsidR="00454F09" w:rsidRPr="00F82FC1" w:rsidRDefault="00454F09" w:rsidP="00F82FC1">
            <w:pPr>
              <w:spacing w:after="0" w:line="240" w:lineRule="auto"/>
              <w:jc w:val="center"/>
              <w:rPr>
                <w:rFonts w:ascii="Arial" w:hAnsi="Arial" w:cs="Arial"/>
                <w:lang w:val="lv-LV"/>
              </w:rPr>
            </w:pPr>
            <w:r w:rsidRPr="00F82FC1">
              <w:rPr>
                <w:rFonts w:ascii="Arial" w:hAnsi="Arial" w:cs="Arial"/>
                <w:lang w:val="lv-LV"/>
              </w:rPr>
              <w:t>211-250</w:t>
            </w:r>
          </w:p>
        </w:tc>
        <w:tc>
          <w:tcPr>
            <w:tcW w:w="2938" w:type="dxa"/>
            <w:vAlign w:val="center"/>
          </w:tcPr>
          <w:p w:rsidR="00454F09" w:rsidRPr="00F82FC1" w:rsidRDefault="00454F09" w:rsidP="00F82FC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lv-LV"/>
              </w:rPr>
            </w:pPr>
            <w:r w:rsidRPr="00F82FC1">
              <w:rPr>
                <w:rFonts w:ascii="Arial" w:hAnsi="Arial" w:cs="Arial"/>
                <w:b/>
                <w:color w:val="2C71B9"/>
                <w:lang w:val="lv-LV"/>
              </w:rPr>
              <w:t>30</w:t>
            </w:r>
          </w:p>
        </w:tc>
      </w:tr>
      <w:tr w:rsidR="00454F09" w:rsidRPr="00454F09" w:rsidTr="00F82FC1">
        <w:trPr>
          <w:trHeight w:val="417"/>
          <w:jc w:val="center"/>
        </w:trPr>
        <w:tc>
          <w:tcPr>
            <w:tcW w:w="3582" w:type="dxa"/>
            <w:vAlign w:val="center"/>
          </w:tcPr>
          <w:p w:rsidR="00454F09" w:rsidRPr="005A360B" w:rsidRDefault="00454F09" w:rsidP="00F82F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60B">
              <w:rPr>
                <w:rFonts w:ascii="Arial" w:hAnsi="Arial" w:cs="Arial"/>
              </w:rPr>
              <w:t>251 and longer</w:t>
            </w:r>
          </w:p>
        </w:tc>
        <w:tc>
          <w:tcPr>
            <w:tcW w:w="2938" w:type="dxa"/>
            <w:vAlign w:val="center"/>
          </w:tcPr>
          <w:p w:rsidR="00454F09" w:rsidRPr="00F82FC1" w:rsidRDefault="00454F09" w:rsidP="00F82FC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lv-LV"/>
              </w:rPr>
            </w:pPr>
            <w:r w:rsidRPr="00F82FC1">
              <w:rPr>
                <w:rFonts w:ascii="Arial" w:hAnsi="Arial" w:cs="Arial"/>
                <w:b/>
                <w:color w:val="2C71B9"/>
                <w:lang w:val="lv-LV"/>
              </w:rPr>
              <w:t>39</w:t>
            </w:r>
          </w:p>
        </w:tc>
      </w:tr>
    </w:tbl>
    <w:p w:rsidR="00454F09" w:rsidRDefault="00454F09" w:rsidP="00454F09">
      <w:pPr>
        <w:rPr>
          <w:rFonts w:ascii="Arial" w:hAnsi="Arial" w:cs="Arial"/>
          <w:sz w:val="24"/>
          <w:szCs w:val="24"/>
          <w:lang w:val="lv-LV"/>
        </w:rPr>
      </w:pPr>
    </w:p>
    <w:p w:rsidR="00F82FC1" w:rsidRPr="00454F09" w:rsidRDefault="00F82FC1" w:rsidP="00454F09">
      <w:pPr>
        <w:rPr>
          <w:rFonts w:ascii="Arial" w:hAnsi="Arial" w:cs="Arial"/>
          <w:sz w:val="24"/>
          <w:szCs w:val="24"/>
          <w:lang w:val="lv-LV"/>
        </w:rPr>
      </w:pPr>
      <w:bookmarkStart w:id="0" w:name="_GoBack"/>
      <w:bookmarkEnd w:id="0"/>
    </w:p>
    <w:p w:rsidR="00454F09" w:rsidRPr="00F82FC1" w:rsidRDefault="00454F09" w:rsidP="00454F09">
      <w:pPr>
        <w:pStyle w:val="Sarakstarindkopa"/>
        <w:ind w:left="0"/>
        <w:rPr>
          <w:rFonts w:ascii="Arial" w:hAnsi="Arial" w:cs="Arial"/>
          <w:szCs w:val="24"/>
        </w:rPr>
      </w:pPr>
      <w:r w:rsidRPr="00F82FC1">
        <w:rPr>
          <w:rFonts w:ascii="Arial" w:hAnsi="Arial" w:cs="Arial"/>
          <w:szCs w:val="24"/>
        </w:rPr>
        <w:t>*Surcharge of 50% applies for second (and each subsequent) calendar day within the port.</w:t>
      </w:r>
    </w:p>
    <w:p w:rsidR="00454F09" w:rsidRPr="00454F09" w:rsidRDefault="00454F09" w:rsidP="00454F09">
      <w:pPr>
        <w:pStyle w:val="Bezatstarpm"/>
        <w:rPr>
          <w:rFonts w:ascii="Arial" w:hAnsi="Arial" w:cs="Arial"/>
          <w:b/>
          <w:i/>
          <w:sz w:val="24"/>
          <w:szCs w:val="24"/>
        </w:rPr>
      </w:pPr>
    </w:p>
    <w:p w:rsidR="00454F09" w:rsidRPr="00F82FC1" w:rsidRDefault="00454F09" w:rsidP="00454F09">
      <w:pPr>
        <w:pStyle w:val="Bezatstarpm"/>
        <w:rPr>
          <w:rFonts w:ascii="Arial" w:hAnsi="Arial" w:cs="Arial"/>
          <w:b/>
          <w:color w:val="0E152C"/>
          <w:sz w:val="24"/>
          <w:szCs w:val="24"/>
        </w:rPr>
      </w:pPr>
      <w:r w:rsidRPr="00F82FC1">
        <w:rPr>
          <w:rFonts w:ascii="Arial" w:hAnsi="Arial" w:cs="Arial"/>
          <w:b/>
          <w:color w:val="0E152C"/>
          <w:sz w:val="24"/>
          <w:szCs w:val="24"/>
        </w:rPr>
        <w:t>Following rebates apply:</w:t>
      </w:r>
    </w:p>
    <w:p w:rsidR="00454F09" w:rsidRPr="00454F09" w:rsidRDefault="00454F09" w:rsidP="00454F09">
      <w:pPr>
        <w:pStyle w:val="Bezatstarpm"/>
        <w:rPr>
          <w:rFonts w:ascii="Arial" w:hAnsi="Arial" w:cs="Arial"/>
          <w:sz w:val="24"/>
          <w:szCs w:val="24"/>
        </w:rPr>
      </w:pPr>
    </w:p>
    <w:p w:rsidR="00454F09" w:rsidRPr="00F82FC1" w:rsidRDefault="00454F09" w:rsidP="00454F09">
      <w:pPr>
        <w:pStyle w:val="Bezatstarpm"/>
        <w:numPr>
          <w:ilvl w:val="1"/>
          <w:numId w:val="1"/>
        </w:numPr>
        <w:rPr>
          <w:rFonts w:ascii="Arial" w:hAnsi="Arial" w:cs="Arial"/>
          <w:szCs w:val="24"/>
        </w:rPr>
      </w:pPr>
      <w:r w:rsidRPr="00F82FC1">
        <w:rPr>
          <w:rFonts w:ascii="Arial" w:hAnsi="Arial" w:cs="Arial"/>
          <w:szCs w:val="24"/>
        </w:rPr>
        <w:t>calls during the calendar year – 20%</w:t>
      </w:r>
    </w:p>
    <w:p w:rsidR="00454F09" w:rsidRPr="00F82FC1" w:rsidRDefault="00454F09" w:rsidP="00454F09">
      <w:pPr>
        <w:pStyle w:val="Bezatstarpm"/>
        <w:rPr>
          <w:rFonts w:ascii="Arial" w:hAnsi="Arial" w:cs="Arial"/>
          <w:szCs w:val="24"/>
        </w:rPr>
      </w:pPr>
      <w:r w:rsidRPr="00F82FC1">
        <w:rPr>
          <w:rFonts w:ascii="Arial" w:hAnsi="Arial" w:cs="Arial"/>
          <w:szCs w:val="24"/>
        </w:rPr>
        <w:t>5-9</w:t>
      </w:r>
      <w:r w:rsidRPr="00F82FC1">
        <w:rPr>
          <w:rFonts w:ascii="Arial" w:hAnsi="Arial" w:cs="Arial"/>
          <w:szCs w:val="24"/>
        </w:rPr>
        <w:tab/>
        <w:t>calls during the calendar year – 30%</w:t>
      </w:r>
    </w:p>
    <w:p w:rsidR="00454F09" w:rsidRPr="00F82FC1" w:rsidRDefault="00454F09" w:rsidP="00454F09">
      <w:pPr>
        <w:pStyle w:val="Bezatstarpm"/>
        <w:rPr>
          <w:rFonts w:ascii="Arial" w:hAnsi="Arial" w:cs="Arial"/>
          <w:szCs w:val="24"/>
        </w:rPr>
      </w:pPr>
      <w:r w:rsidRPr="00F82FC1">
        <w:rPr>
          <w:rFonts w:ascii="Arial" w:hAnsi="Arial" w:cs="Arial"/>
          <w:szCs w:val="24"/>
        </w:rPr>
        <w:t xml:space="preserve">10 </w:t>
      </w:r>
      <w:r w:rsidRPr="00F82FC1">
        <w:rPr>
          <w:rFonts w:ascii="Arial" w:hAnsi="Arial" w:cs="Arial"/>
          <w:szCs w:val="24"/>
        </w:rPr>
        <w:tab/>
        <w:t>and more calls during the calendar year – rebates available by mutual agreement</w:t>
      </w:r>
    </w:p>
    <w:p w:rsidR="00454F09" w:rsidRPr="00454F09" w:rsidRDefault="00454F09" w:rsidP="00454F09">
      <w:pPr>
        <w:rPr>
          <w:rFonts w:ascii="Arial" w:hAnsi="Arial" w:cs="Arial"/>
          <w:sz w:val="24"/>
          <w:szCs w:val="24"/>
        </w:rPr>
      </w:pPr>
    </w:p>
    <w:p w:rsidR="00454F09" w:rsidRPr="00454F09" w:rsidRDefault="00454F09" w:rsidP="00454F09">
      <w:pPr>
        <w:rPr>
          <w:rFonts w:ascii="Arial" w:hAnsi="Arial" w:cs="Arial"/>
          <w:b/>
          <w:i/>
          <w:sz w:val="24"/>
          <w:szCs w:val="24"/>
        </w:rPr>
      </w:pPr>
    </w:p>
    <w:p w:rsidR="00454F09" w:rsidRPr="00F82FC1" w:rsidRDefault="00454F09" w:rsidP="00F82FC1">
      <w:pPr>
        <w:rPr>
          <w:rFonts w:ascii="Arial" w:hAnsi="Arial" w:cs="Arial"/>
          <w:color w:val="0E152C"/>
          <w:sz w:val="24"/>
          <w:szCs w:val="24"/>
        </w:rPr>
      </w:pPr>
      <w:r w:rsidRPr="00F82FC1">
        <w:rPr>
          <w:rFonts w:ascii="Arial" w:hAnsi="Arial" w:cs="Arial"/>
          <w:b/>
          <w:color w:val="0E152C"/>
          <w:sz w:val="24"/>
          <w:szCs w:val="24"/>
        </w:rPr>
        <w:t>Fee for Fresh Water supply from pier</w:t>
      </w:r>
      <w:r w:rsidRPr="00F82FC1">
        <w:rPr>
          <w:rFonts w:ascii="Arial" w:hAnsi="Arial" w:cs="Arial"/>
          <w:color w:val="0E152C"/>
          <w:sz w:val="24"/>
          <w:szCs w:val="24"/>
        </w:rPr>
        <w:t xml:space="preserve"> (ship’s hoses to be used): </w:t>
      </w:r>
    </w:p>
    <w:p w:rsidR="00454F09" w:rsidRPr="00F82FC1" w:rsidRDefault="00454F09" w:rsidP="00F82FC1">
      <w:pPr>
        <w:pStyle w:val="Sarakstarindkopa"/>
        <w:ind w:left="0"/>
        <w:rPr>
          <w:rFonts w:ascii="Arial" w:hAnsi="Arial" w:cs="Arial"/>
          <w:b/>
          <w:color w:val="2C71B9"/>
          <w:szCs w:val="24"/>
        </w:rPr>
      </w:pPr>
      <w:r w:rsidRPr="00F82FC1">
        <w:rPr>
          <w:rFonts w:ascii="Arial" w:hAnsi="Arial" w:cs="Arial"/>
          <w:b/>
          <w:color w:val="2C71B9"/>
          <w:szCs w:val="24"/>
        </w:rPr>
        <w:t>2.70 EUR/</w:t>
      </w:r>
      <w:proofErr w:type="spellStart"/>
      <w:r w:rsidRPr="00F82FC1">
        <w:rPr>
          <w:rFonts w:ascii="Arial" w:hAnsi="Arial" w:cs="Arial"/>
          <w:b/>
          <w:color w:val="2C71B9"/>
          <w:szCs w:val="24"/>
        </w:rPr>
        <w:t>cbm</w:t>
      </w:r>
      <w:proofErr w:type="spellEnd"/>
    </w:p>
    <w:p w:rsidR="004E54AD" w:rsidRPr="00F82FC1" w:rsidRDefault="00454F09" w:rsidP="00F82FC1">
      <w:pPr>
        <w:pStyle w:val="Sarakstarindkopa"/>
        <w:ind w:left="0"/>
        <w:rPr>
          <w:rFonts w:ascii="Arial" w:hAnsi="Arial" w:cs="Arial"/>
          <w:b/>
          <w:color w:val="2C71B9"/>
          <w:szCs w:val="24"/>
        </w:rPr>
      </w:pPr>
      <w:r w:rsidRPr="00F82FC1">
        <w:rPr>
          <w:rFonts w:ascii="Arial" w:hAnsi="Arial" w:cs="Arial"/>
          <w:b/>
          <w:color w:val="2C71B9"/>
          <w:szCs w:val="24"/>
        </w:rPr>
        <w:t>50 EUR Connection Fee</w:t>
      </w:r>
    </w:p>
    <w:sectPr w:rsidR="004E54AD" w:rsidRPr="00F82FC1" w:rsidSect="004E54AD">
      <w:headerReference w:type="default" r:id="rId8"/>
      <w:pgSz w:w="11906" w:h="16838"/>
      <w:pgMar w:top="215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D77" w:rsidRDefault="00E15D77" w:rsidP="004E54AD">
      <w:pPr>
        <w:spacing w:after="0" w:line="240" w:lineRule="auto"/>
      </w:pPr>
      <w:r>
        <w:separator/>
      </w:r>
    </w:p>
  </w:endnote>
  <w:endnote w:type="continuationSeparator" w:id="0">
    <w:p w:rsidR="00E15D77" w:rsidRDefault="00E15D77" w:rsidP="004E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D77" w:rsidRDefault="00E15D77" w:rsidP="004E54AD">
      <w:pPr>
        <w:spacing w:after="0" w:line="240" w:lineRule="auto"/>
      </w:pPr>
      <w:r>
        <w:separator/>
      </w:r>
    </w:p>
  </w:footnote>
  <w:footnote w:type="continuationSeparator" w:id="0">
    <w:p w:rsidR="00E15D77" w:rsidRDefault="00E15D77" w:rsidP="004E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4AD" w:rsidRDefault="004E54AD">
    <w:pPr>
      <w:pStyle w:val="Galve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0EF1CE" wp14:editId="685F5ABA">
              <wp:simplePos x="0" y="0"/>
              <wp:positionH relativeFrom="column">
                <wp:posOffset>0</wp:posOffset>
              </wp:positionH>
              <wp:positionV relativeFrom="paragraph">
                <wp:posOffset>856298</wp:posOffset>
              </wp:positionV>
              <wp:extent cx="5715000" cy="0"/>
              <wp:effectExtent l="0" t="0" r="0" b="0"/>
              <wp:wrapNone/>
              <wp:docPr id="4" name="Taisns savienotāj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C71B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C734F4" id="Taisns savienotājs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7.45pt" to="450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" strokecolor="#2c71b9" strokeweight="1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-914400</wp:posOffset>
          </wp:positionH>
          <wp:positionV relativeFrom="paragraph">
            <wp:posOffset>-449580</wp:posOffset>
          </wp:positionV>
          <wp:extent cx="7560000" cy="1306625"/>
          <wp:effectExtent l="0" t="0" r="0" b="0"/>
          <wp:wrapNone/>
          <wp:docPr id="18" name="Attēls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6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26C05"/>
    <w:multiLevelType w:val="multilevel"/>
    <w:tmpl w:val="AC5A9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77"/>
    <w:rsid w:val="00454F09"/>
    <w:rsid w:val="004E54AD"/>
    <w:rsid w:val="005A360B"/>
    <w:rsid w:val="00E15D77"/>
    <w:rsid w:val="00E40F3A"/>
    <w:rsid w:val="00F8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46E11"/>
  <w15:chartTrackingRefBased/>
  <w15:docId w15:val="{D144522E-F84A-4DA5-9551-02C7E313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4F09"/>
    <w:pPr>
      <w:spacing w:after="200" w:line="276" w:lineRule="auto"/>
    </w:pPr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E5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E54AD"/>
  </w:style>
  <w:style w:type="paragraph" w:styleId="Kjene">
    <w:name w:val="footer"/>
    <w:basedOn w:val="Parasts"/>
    <w:link w:val="KjeneRakstz"/>
    <w:uiPriority w:val="99"/>
    <w:unhideWhenUsed/>
    <w:rsid w:val="004E5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E54AD"/>
  </w:style>
  <w:style w:type="table" w:styleId="Reatabula">
    <w:name w:val="Table Grid"/>
    <w:basedOn w:val="Parastatabula"/>
    <w:uiPriority w:val="59"/>
    <w:rsid w:val="00454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454F09"/>
    <w:pPr>
      <w:spacing w:after="0" w:line="240" w:lineRule="auto"/>
    </w:pPr>
    <w:rPr>
      <w:lang w:val="en-US"/>
    </w:rPr>
  </w:style>
  <w:style w:type="paragraph" w:styleId="Sarakstarindkopa">
    <w:name w:val="List Paragraph"/>
    <w:basedOn w:val="Parasts"/>
    <w:uiPriority w:val="34"/>
    <w:qFormat/>
    <w:rsid w:val="00454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11CLOUD\Public\Pasazieru%20osta\Stils\Veidlapa\RPO%20veidlapa%20ENG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7DA21-FD9D-4BCC-BDF0-BA97C5AE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RPO veidlapa ENG</Template>
  <TotalTime>7</TotalTime>
  <Pages>1</Pages>
  <Words>336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</dc:creator>
  <cp:keywords/>
  <dc:description/>
  <cp:lastModifiedBy>Martins Baranovs</cp:lastModifiedBy>
  <cp:revision>4</cp:revision>
  <dcterms:created xsi:type="dcterms:W3CDTF">2019-05-31T07:18:00Z</dcterms:created>
  <dcterms:modified xsi:type="dcterms:W3CDTF">2019-05-31T07:26:00Z</dcterms:modified>
</cp:coreProperties>
</file>